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1164-2804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ИНФОРМАЦИОННЫЕ СИСТЕМЫ И ТЕХНОЛОГИИ «АЙТИ НОРД»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Макеевой Марины Алексеевны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Макеева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«ИНФОРМАЦИОННЫЕ СИСТЕМЫ И ТЕХНОЛОГИИ «АЙТИ НОРД»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д.6, кв.7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Макеева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Макеевой</w:t>
      </w:r>
      <w:r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Макеевой</w:t>
      </w:r>
      <w:r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Макеевой</w:t>
      </w:r>
      <w:r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справкой о несвоевременном представлении декларации (отчетности).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Макеевой</w:t>
      </w:r>
      <w:r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Макеевой</w:t>
      </w:r>
      <w:r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«ИНФОРМАЦИОННЫЕ СИСТЕМЫ И ТЕХНОЛОГИИ «АЙТИ НОРД» </w:t>
      </w:r>
      <w:r>
        <w:rPr>
          <w:rFonts w:ascii="Times New Roman" w:eastAsia="Times New Roman" w:hAnsi="Times New Roman" w:cs="Times New Roman"/>
          <w:b/>
          <w:bCs/>
        </w:rPr>
        <w:t>Макееву Марину Алексеевну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